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басшылары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педагогтерін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лауазымға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босату</w:t>
      </w:r>
      <w:proofErr w:type="spellEnd"/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басшының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ОТЖ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орынбасары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орналасуға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Үлгілі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басшының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ОТЖ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орынбасарына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: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: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өтілі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оқытушылық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қызметті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кезінде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– "педагог –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сарапшы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"педагог –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зерттеуші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proofErr w:type="gramStart"/>
      <w:r w:rsidRPr="00FF6EB3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іліктілігінің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: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1.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у-т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әрбие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ағымдағы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жоспарлауды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2.Оқу-тәрбие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ғылым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и-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әлеуметтік-психологиялық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етудің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жай-күйін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талдайды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3.Мемлекеттік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жалпы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жоспарлары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бағдарламаларын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орындау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қажетті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құжаттаманы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үйлестіреді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қысқа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мерзімді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жоспарларын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тексереді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4.Мемлекеттік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жалпы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стандарттары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шеңберінде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сапасын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игеру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нәтижелерін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бағалаудың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объективтілігін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бақылауды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5.Ағымдағы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қорытынды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аттестаттауды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өткізуді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жұмысты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6.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ңа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тәсілдерді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тиімді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технологияларды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енгізуді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>7.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әндер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мектепішілік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бақылауды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бөлімін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жүргізеді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мектепішілік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бақылау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БЖБ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ТЖБ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қорытындысы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сапасын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талдайды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>8.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әндер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білімдерін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тақырыптық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бақылауды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9.Білім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жүктемесіне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бақылауды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сабақтарының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курстардың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жоспарының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вариативті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к</w:t>
      </w:r>
      <w:proofErr w:type="spellEnd"/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компонентінің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сабақтарының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кестесін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жасайды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10.Білім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алушылар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қатысуын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11.Ерекше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қажеттіліктері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алушыларды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қолдау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қызметінің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үйлестіреді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lastRenderedPageBreak/>
        <w:t xml:space="preserve">12.Білім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әндік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бірлестіктері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эксперименттік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үйлестіруді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ғылыми-әдістемелік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әлеуметтік-психологиялық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жұмысты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талдауды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13.Педагогтердің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тиімді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ірибесін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тарату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шараларды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жинақтайды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қабылдайды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іктеуге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қатысады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14.Тәлімгерлік,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іктілікті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санаттарын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(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растау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жұмысты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15.Оқу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зертханалары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кабинеттерін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қазіргі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заманғы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жабдықтармен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көрнекі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құралдармен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құралдарымен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жарақтандыру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жұмысты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жоспарлайды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ұсыныс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енгізеді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ән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мұғалімдерімен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бірлесіп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баламалы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оқулықтарды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таңдауды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оқулықтар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кешендерді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ішінде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оқулықтар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ресурстарды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сатып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алуға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кабинеттер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ітапханаларды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толықтыруға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өтінім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көркем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әдебиет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16.Жыл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сайын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кітапхана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қажетті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әдебиеттермен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толық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тыру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өтінім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береді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>17.Оқ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у-т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әрбие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пайдаланылатын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жабдықтардың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аспаптардың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көрнекі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қауіпсіздігін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18.Белгіленген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есептік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құжаттаманың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сапалы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уақтылы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жасалуын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ұсына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сабақтарына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жасайды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19.Оқу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жетілдіру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сағаттар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семинарлары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тренингтер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өткізеді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20.Педагогикалық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кеңестердің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күн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тәртібі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материалдарын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дайындайды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21.Білім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барлық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субъектілерінің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ішінде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балалар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отбасының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қатысуымен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ұйымда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құндылық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тар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негізделген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беру"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тұжырымдамасын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енгізеді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22.Білім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алушылар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тәрбиеленушілер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қызметкерлер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арасында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мәдениетті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адалдық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қағидаттарын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сіңіреді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Басшының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ОТЖ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орынбасары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lastRenderedPageBreak/>
        <w:t>педагогика мен психология;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стандарттары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бағдарламалары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жоспарлары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практиканың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жеті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іктері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Менеджмент,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Қаржы-шаруашылық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қызмет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: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);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);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EB3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 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);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proofErr w:type="gramStart"/>
      <w:r w:rsidRPr="00FF6EB3">
        <w:rPr>
          <w:rFonts w:eastAsia="Times New Roman"/>
          <w:sz w:val="28"/>
          <w:szCs w:val="28"/>
          <w:lang w:eastAsia="ru-RU"/>
        </w:rPr>
        <w:t>;;</w:t>
      </w:r>
      <w:proofErr w:type="gramEnd"/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);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>.</w:t>
      </w:r>
    </w:p>
    <w:p w:rsidR="00FF6EB3" w:rsidRPr="00FF6EB3" w:rsidRDefault="00FF6EB3" w:rsidP="00FF6EB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6EB3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FF6EB3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FF6EB3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842AC0" w:rsidRPr="00FF6EB3" w:rsidRDefault="00FF6EB3" w:rsidP="00FF6EB3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F6EB3">
        <w:rPr>
          <w:rFonts w:eastAsia="Times New Roman"/>
          <w:sz w:val="28"/>
          <w:szCs w:val="28"/>
          <w:lang w:eastAsia="ru-RU"/>
        </w:rPr>
        <w:lastRenderedPageBreak/>
        <w:t>Электрондық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F6EB3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FF6EB3">
        <w:rPr>
          <w:rFonts w:eastAsia="Times New Roman"/>
          <w:sz w:val="28"/>
          <w:szCs w:val="28"/>
          <w:lang w:eastAsia="ru-RU"/>
        </w:rPr>
        <w:t xml:space="preserve"> shkola_zav@mail.ru</w:t>
      </w:r>
    </w:p>
    <w:sectPr w:rsidR="00842AC0" w:rsidRPr="00FF6EB3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957"/>
    <w:rsid w:val="000520FF"/>
    <w:rsid w:val="002E71B6"/>
    <w:rsid w:val="002F203F"/>
    <w:rsid w:val="00454957"/>
    <w:rsid w:val="004B6263"/>
    <w:rsid w:val="006524DC"/>
    <w:rsid w:val="00842AC0"/>
    <w:rsid w:val="009D3BC3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95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2022-08-04T03:56:00Z</dcterms:created>
  <dcterms:modified xsi:type="dcterms:W3CDTF">2022-08-04T04:24:00Z</dcterms:modified>
</cp:coreProperties>
</file>